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D75" w:rsidRPr="00D77ECF" w:rsidRDefault="00DF6D75" w:rsidP="00D77ECF">
      <w:pPr>
        <w:pStyle w:val="Standardowytekst"/>
        <w:jc w:val="center"/>
        <w:rPr>
          <w:rFonts w:asciiTheme="majorHAnsi" w:hAnsiTheme="majorHAnsi"/>
          <w:b/>
          <w:sz w:val="28"/>
        </w:rPr>
      </w:pPr>
      <w:bookmarkStart w:id="0" w:name="_Toc407069660"/>
      <w:bookmarkStart w:id="1" w:name="_Toc407081625"/>
      <w:bookmarkStart w:id="2" w:name="_Toc407081768"/>
      <w:bookmarkStart w:id="3" w:name="_Toc407083424"/>
      <w:bookmarkStart w:id="4" w:name="_Toc407084258"/>
      <w:bookmarkStart w:id="5" w:name="_Toc407085377"/>
      <w:bookmarkStart w:id="6" w:name="_Toc407085520"/>
      <w:bookmarkStart w:id="7" w:name="_Toc407085663"/>
      <w:bookmarkStart w:id="8" w:name="_Toc407086111"/>
      <w:r w:rsidRPr="00D77ECF">
        <w:rPr>
          <w:rFonts w:asciiTheme="majorHAnsi" w:hAnsiTheme="majorHAnsi"/>
          <w:b/>
          <w:sz w:val="28"/>
        </w:rPr>
        <w:t>SZCZEGÓŁOWA SPECYFIKACJA TECHNICZNA</w:t>
      </w:r>
    </w:p>
    <w:p w:rsidR="00DF6D75" w:rsidRPr="00D77ECF" w:rsidRDefault="00DF6D75" w:rsidP="00D77ECF">
      <w:pPr>
        <w:pStyle w:val="Standardowytekst"/>
        <w:jc w:val="center"/>
        <w:rPr>
          <w:rFonts w:asciiTheme="majorHAnsi" w:hAnsiTheme="majorHAnsi"/>
          <w:b/>
          <w:sz w:val="28"/>
        </w:rPr>
      </w:pPr>
      <w:r w:rsidRPr="00D77ECF">
        <w:rPr>
          <w:rFonts w:asciiTheme="majorHAnsi" w:hAnsiTheme="majorHAnsi"/>
          <w:b/>
          <w:sz w:val="28"/>
        </w:rPr>
        <w:t>D-04.03.01</w:t>
      </w:r>
    </w:p>
    <w:p w:rsidR="00DF6D75" w:rsidRPr="00D77ECF" w:rsidRDefault="00DF6D75" w:rsidP="00D77ECF">
      <w:pPr>
        <w:pStyle w:val="Standardowytekst"/>
        <w:jc w:val="center"/>
        <w:rPr>
          <w:rFonts w:asciiTheme="majorHAnsi" w:hAnsiTheme="majorHAnsi"/>
          <w:b/>
          <w:sz w:val="28"/>
        </w:rPr>
      </w:pPr>
      <w:r w:rsidRPr="00D77ECF">
        <w:rPr>
          <w:rFonts w:asciiTheme="majorHAnsi" w:hAnsiTheme="majorHAnsi"/>
          <w:b/>
          <w:sz w:val="28"/>
        </w:rPr>
        <w:t>OCZYSZCZENIE  I  SKROPIENIE</w:t>
      </w:r>
    </w:p>
    <w:p w:rsidR="00DF6D75" w:rsidRPr="00D77ECF" w:rsidRDefault="00DF6D75" w:rsidP="00D77ECF">
      <w:pPr>
        <w:pStyle w:val="Standardowytekst"/>
        <w:jc w:val="center"/>
        <w:rPr>
          <w:rFonts w:asciiTheme="majorHAnsi" w:hAnsiTheme="majorHAnsi"/>
          <w:b/>
          <w:sz w:val="28"/>
        </w:rPr>
      </w:pPr>
      <w:r w:rsidRPr="00D77ECF">
        <w:rPr>
          <w:rFonts w:asciiTheme="majorHAnsi" w:hAnsiTheme="majorHAnsi"/>
          <w:b/>
          <w:sz w:val="28"/>
        </w:rPr>
        <w:t>WARSTW  KONSTRUKCYJNYCH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r w:rsidRPr="00D77ECF">
        <w:rPr>
          <w:rFonts w:asciiTheme="majorHAnsi" w:hAnsiTheme="majorHAnsi"/>
        </w:rPr>
        <w:t>1. WSTĘP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9" w:name="_Toc407069661"/>
      <w:bookmarkStart w:id="10" w:name="_Toc407081626"/>
      <w:bookmarkStart w:id="11" w:name="_Toc407081769"/>
      <w:bookmarkStart w:id="12" w:name="_Toc407083425"/>
      <w:bookmarkStart w:id="13" w:name="_Toc407084259"/>
      <w:bookmarkStart w:id="14" w:name="_Toc407085378"/>
      <w:bookmarkStart w:id="15" w:name="_Toc407085521"/>
      <w:bookmarkStart w:id="16" w:name="_Toc407085664"/>
      <w:bookmarkStart w:id="17" w:name="_Toc407086112"/>
      <w:r w:rsidRPr="00D77ECF">
        <w:rPr>
          <w:rFonts w:asciiTheme="majorHAnsi" w:hAnsiTheme="majorHAnsi"/>
        </w:rPr>
        <w:t>1.1. Przedmiot SST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DF6D75" w:rsidRPr="00D77ECF" w:rsidRDefault="00DF6D75" w:rsidP="00D77ECF">
      <w:pPr>
        <w:rPr>
          <w:rFonts w:asciiTheme="majorHAnsi" w:hAnsiTheme="majorHAnsi"/>
          <w:b/>
        </w:rPr>
      </w:pPr>
      <w:r w:rsidRPr="00D77ECF">
        <w:rPr>
          <w:rFonts w:asciiTheme="majorHAnsi" w:hAnsiTheme="majorHAnsi"/>
        </w:rPr>
        <w:tab/>
        <w:t>Przedmiotem niniejszej szczegółowej specyfikacji technicznej (SST) są wymagania dotyczące wykonania i odbioru robót związanych z oczyszczeniem i skropieniem warstw konstrukcyjnych nawierzchni na zadaniu p.n</w:t>
      </w:r>
      <w:r w:rsidRPr="00D77ECF">
        <w:rPr>
          <w:rFonts w:asciiTheme="majorHAnsi" w:hAnsiTheme="majorHAnsi"/>
          <w:b/>
          <w:bCs/>
        </w:rPr>
        <w:t xml:space="preserve">.: </w:t>
      </w:r>
      <w:r w:rsidR="00766841">
        <w:rPr>
          <w:b/>
        </w:rPr>
        <w:t>„Przebudowa drogi powiatowej nr 4344W (gmina Jadów)”</w:t>
      </w:r>
      <w:r w:rsidR="00031B50" w:rsidRPr="00733A25">
        <w:rPr>
          <w:b/>
        </w:rPr>
        <w:t>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8" w:name="_Toc407069662"/>
      <w:bookmarkStart w:id="19" w:name="_Toc407081627"/>
      <w:bookmarkStart w:id="20" w:name="_Toc407081770"/>
      <w:bookmarkStart w:id="21" w:name="_Toc407083426"/>
      <w:bookmarkStart w:id="22" w:name="_Toc407084260"/>
      <w:bookmarkStart w:id="23" w:name="_Toc407085379"/>
      <w:bookmarkStart w:id="24" w:name="_Toc407085522"/>
      <w:bookmarkStart w:id="25" w:name="_Toc407085665"/>
      <w:bookmarkStart w:id="26" w:name="_Toc407086113"/>
      <w:r w:rsidRPr="00D77ECF">
        <w:rPr>
          <w:rFonts w:asciiTheme="majorHAnsi" w:hAnsiTheme="majorHAnsi"/>
        </w:rPr>
        <w:t>1.2. Zakres stosowania SST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Szczegółowa specyfikacja techniczna (SST) stanowi dokument przetargowy i kontraktowy przy zlecaniu i realizacji robót na drogach 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7" w:name="_Toc407069663"/>
      <w:bookmarkStart w:id="28" w:name="_Toc407081628"/>
      <w:bookmarkStart w:id="29" w:name="_Toc407081771"/>
      <w:bookmarkStart w:id="30" w:name="_Toc407083427"/>
      <w:bookmarkStart w:id="31" w:name="_Toc407084261"/>
      <w:bookmarkStart w:id="32" w:name="_Toc407085380"/>
      <w:bookmarkStart w:id="33" w:name="_Toc407085523"/>
      <w:bookmarkStart w:id="34" w:name="_Toc407085666"/>
      <w:bookmarkStart w:id="35" w:name="_Toc407086114"/>
      <w:r w:rsidRPr="00D77ECF">
        <w:rPr>
          <w:rFonts w:asciiTheme="majorHAnsi" w:hAnsiTheme="majorHAnsi"/>
        </w:rPr>
        <w:t>1.3. Zakres robót objętych SST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Ustalenia zawarte w niniejszej specyfikacji dotyczą zasad prowadzenia robót związanych z oczyszczeniem i skropieniem warstw konstrukcyjnych emulsją asfaltową C60B5 ZM ( wg PN-EN 13808), przed ułożeniem następnej warstwy nawierzchni jak niżej: </w:t>
      </w: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 xml:space="preserve">- podbudowy z kruszywa pod warstwę </w:t>
      </w:r>
      <w:r w:rsidR="00031B50">
        <w:rPr>
          <w:rFonts w:asciiTheme="majorHAnsi" w:hAnsiTheme="majorHAnsi"/>
        </w:rPr>
        <w:t>podbudowy z betonu asfaltowego,</w:t>
      </w:r>
    </w:p>
    <w:p w:rsidR="00DF6D75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>- nawierzchni bitumicznej</w:t>
      </w:r>
      <w:r w:rsidR="00031B50">
        <w:rPr>
          <w:rFonts w:asciiTheme="majorHAnsi" w:hAnsiTheme="majorHAnsi"/>
        </w:rPr>
        <w:t xml:space="preserve"> i podbudowę bitumiczną </w:t>
      </w:r>
      <w:r w:rsidRPr="00D77ECF">
        <w:rPr>
          <w:rFonts w:asciiTheme="majorHAnsi" w:hAnsiTheme="majorHAnsi"/>
        </w:rPr>
        <w:t xml:space="preserve">pod warstwę </w:t>
      </w:r>
      <w:r w:rsidR="00031B50">
        <w:rPr>
          <w:rFonts w:asciiTheme="majorHAnsi" w:hAnsiTheme="majorHAnsi"/>
        </w:rPr>
        <w:t>wyrównawczą</w:t>
      </w:r>
      <w:r w:rsidRPr="00D77ECF">
        <w:rPr>
          <w:rFonts w:asciiTheme="majorHAnsi" w:hAnsiTheme="majorHAnsi"/>
        </w:rPr>
        <w:t xml:space="preserve">, </w:t>
      </w:r>
    </w:p>
    <w:p w:rsidR="00031B50" w:rsidRPr="00D77ECF" w:rsidRDefault="00031B50" w:rsidP="00D77ECF">
      <w:pPr>
        <w:rPr>
          <w:rFonts w:asciiTheme="majorHAnsi" w:hAnsiTheme="majorHAnsi"/>
        </w:rPr>
      </w:pPr>
      <w:r>
        <w:rPr>
          <w:rFonts w:asciiTheme="majorHAnsi" w:hAnsiTheme="majorHAnsi"/>
        </w:rPr>
        <w:t>- warstwę wyrównawczą pod warstwę ścieralną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>w ilościach podanych przez producenta i ustaleń z Inspektorem Nadzoru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36" w:name="_Toc407069664"/>
      <w:bookmarkStart w:id="37" w:name="_Toc407081629"/>
      <w:bookmarkStart w:id="38" w:name="_Toc407081772"/>
      <w:bookmarkStart w:id="39" w:name="_Toc407083428"/>
      <w:bookmarkStart w:id="40" w:name="_Toc407084262"/>
      <w:bookmarkStart w:id="41" w:name="_Toc407085381"/>
      <w:bookmarkStart w:id="42" w:name="_Toc407085524"/>
      <w:bookmarkStart w:id="43" w:name="_Toc407085667"/>
      <w:bookmarkStart w:id="44" w:name="_Toc407086115"/>
      <w:r w:rsidRPr="00D77ECF">
        <w:rPr>
          <w:rFonts w:asciiTheme="majorHAnsi" w:hAnsiTheme="majorHAnsi"/>
        </w:rPr>
        <w:t>1.4. Określenia podstawowe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Określenia podstawowe są zgodne z obowiązującymi, odpowiednimi polskimi normami i z definicjami podanymi w OST D-M-00.00.00 „Wymagania ogólne” pkt 1.4.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45" w:name="_Toc407069665"/>
      <w:bookmarkStart w:id="46" w:name="_Toc407081630"/>
      <w:bookmarkStart w:id="47" w:name="_Toc407081773"/>
      <w:bookmarkStart w:id="48" w:name="_Toc407083429"/>
      <w:bookmarkStart w:id="49" w:name="_Toc407084263"/>
      <w:bookmarkStart w:id="50" w:name="_Toc407085382"/>
      <w:bookmarkStart w:id="51" w:name="_Toc407085525"/>
      <w:bookmarkStart w:id="52" w:name="_Toc407085668"/>
      <w:bookmarkStart w:id="53" w:name="_Toc407086116"/>
      <w:r w:rsidRPr="00D77ECF">
        <w:rPr>
          <w:rFonts w:asciiTheme="majorHAnsi" w:hAnsiTheme="majorHAnsi"/>
        </w:rPr>
        <w:t>1.5. Ogólne wymagania dotyczące robót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DF6D75" w:rsidRPr="00D77ECF" w:rsidRDefault="00DF6D75" w:rsidP="00D77ECF">
      <w:pPr>
        <w:spacing w:after="120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wymagania dotyczące robót podano w OST D-M-00.00.00 „Wymagania ogólne” pkt 1.5.</w:t>
      </w:r>
    </w:p>
    <w:p w:rsidR="00DF6D75" w:rsidRPr="00D77ECF" w:rsidRDefault="00DF6D75" w:rsidP="00D77ECF">
      <w:pPr>
        <w:pStyle w:val="Nagwek1"/>
        <w:spacing w:before="120"/>
        <w:rPr>
          <w:rFonts w:asciiTheme="majorHAnsi" w:hAnsiTheme="majorHAnsi"/>
        </w:rPr>
      </w:pPr>
      <w:bookmarkStart w:id="54" w:name="_Toc407069666"/>
      <w:bookmarkStart w:id="55" w:name="_Toc407081631"/>
      <w:bookmarkStart w:id="56" w:name="_Toc407081774"/>
      <w:bookmarkStart w:id="57" w:name="_Toc407083430"/>
      <w:bookmarkStart w:id="58" w:name="_Toc407084264"/>
      <w:bookmarkStart w:id="59" w:name="_Toc407085383"/>
      <w:bookmarkStart w:id="60" w:name="_Toc407085526"/>
      <w:bookmarkStart w:id="61" w:name="_Toc407085669"/>
      <w:bookmarkStart w:id="62" w:name="_Toc407086117"/>
      <w:r w:rsidRPr="00D77ECF">
        <w:rPr>
          <w:rFonts w:asciiTheme="majorHAnsi" w:hAnsiTheme="majorHAnsi"/>
        </w:rPr>
        <w:t>2. materiały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DF6D75" w:rsidRPr="00D77ECF" w:rsidRDefault="00DF6D75" w:rsidP="00D77ECF">
      <w:pPr>
        <w:pStyle w:val="Nagwek2"/>
        <w:spacing w:before="0"/>
        <w:rPr>
          <w:rFonts w:asciiTheme="majorHAnsi" w:hAnsiTheme="majorHAnsi"/>
        </w:rPr>
      </w:pPr>
      <w:bookmarkStart w:id="63" w:name="_Toc407069667"/>
      <w:bookmarkStart w:id="64" w:name="_Toc407081632"/>
      <w:bookmarkStart w:id="65" w:name="_Toc407081775"/>
      <w:bookmarkStart w:id="66" w:name="_Toc407083431"/>
      <w:bookmarkStart w:id="67" w:name="_Toc407084265"/>
      <w:bookmarkStart w:id="68" w:name="_Toc407085384"/>
      <w:bookmarkStart w:id="69" w:name="_Toc407085527"/>
      <w:bookmarkStart w:id="70" w:name="_Toc407085670"/>
      <w:bookmarkStart w:id="71" w:name="_Toc407086118"/>
      <w:r w:rsidRPr="00D77ECF">
        <w:rPr>
          <w:rFonts w:asciiTheme="majorHAnsi" w:hAnsiTheme="majorHAnsi"/>
        </w:rPr>
        <w:t>2.1. Ogólne wymagania dotyczące materiałów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wymagania dotyczące materiałów, ich pozyskiwania i składowania, podano w OST D-M-00.00.00 „Wymagania ogólne” pkt 2.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72" w:name="_Toc407069668"/>
      <w:bookmarkStart w:id="73" w:name="_Toc407081633"/>
      <w:bookmarkStart w:id="74" w:name="_Toc407081776"/>
      <w:bookmarkStart w:id="75" w:name="_Toc407083432"/>
      <w:bookmarkStart w:id="76" w:name="_Toc407084266"/>
      <w:bookmarkStart w:id="77" w:name="_Toc407085385"/>
      <w:bookmarkStart w:id="78" w:name="_Toc407085528"/>
      <w:bookmarkStart w:id="79" w:name="_Toc407085671"/>
      <w:bookmarkStart w:id="80" w:name="_Toc407086119"/>
      <w:r w:rsidRPr="00D77ECF">
        <w:rPr>
          <w:rFonts w:asciiTheme="majorHAnsi" w:hAnsiTheme="majorHAnsi"/>
        </w:rPr>
        <w:t>2.2. Rodzaje materiałów do wykonania skropienia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Materiałami stosowanymi przy skropieniu warstw konstrukcyjnych nawierzchni są: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kationowe emulsje asfaltowe C60B5 ZM wg WT-3. 2009 [5], posiadające deklaracje zgodności oraz certyfikat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81" w:name="_Toc407069669"/>
      <w:bookmarkStart w:id="82" w:name="_Toc407081634"/>
      <w:bookmarkStart w:id="83" w:name="_Toc407081777"/>
      <w:bookmarkStart w:id="84" w:name="_Toc407083433"/>
      <w:bookmarkStart w:id="85" w:name="_Toc407084267"/>
      <w:bookmarkStart w:id="86" w:name="_Toc407085386"/>
      <w:bookmarkStart w:id="87" w:name="_Toc407085529"/>
      <w:bookmarkStart w:id="88" w:name="_Toc407085672"/>
      <w:bookmarkStart w:id="89" w:name="_Toc407086120"/>
      <w:r w:rsidRPr="00D77ECF">
        <w:rPr>
          <w:rFonts w:asciiTheme="majorHAnsi" w:hAnsiTheme="majorHAnsi"/>
        </w:rPr>
        <w:t>2.3. Wymagania dla materiałów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Wymagania dla kationowej emulsji asfaltowej podano w WT-3 tabl. 2,2009 [5].</w:t>
      </w:r>
    </w:p>
    <w:p w:rsidR="00DF6D75" w:rsidRPr="00D77ECF" w:rsidRDefault="00DF6D75" w:rsidP="00D77ECF">
      <w:pPr>
        <w:rPr>
          <w:rFonts w:asciiTheme="majorHAnsi" w:hAnsiTheme="majorHAnsi"/>
        </w:rPr>
      </w:pP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90" w:name="_Toc407069670"/>
      <w:bookmarkStart w:id="91" w:name="_Toc407081635"/>
      <w:bookmarkStart w:id="92" w:name="_Toc407081778"/>
      <w:bookmarkStart w:id="93" w:name="_Toc407083434"/>
      <w:bookmarkStart w:id="94" w:name="_Toc407084268"/>
      <w:bookmarkStart w:id="95" w:name="_Toc407085387"/>
      <w:bookmarkStart w:id="96" w:name="_Toc407085530"/>
      <w:bookmarkStart w:id="97" w:name="_Toc407085673"/>
      <w:bookmarkStart w:id="98" w:name="_Toc407086121"/>
      <w:r w:rsidRPr="00D77ECF">
        <w:rPr>
          <w:rFonts w:asciiTheme="majorHAnsi" w:hAnsiTheme="majorHAnsi"/>
        </w:rPr>
        <w:t>2.4. Zużycie lepiszczy do skropienia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Orientacyjne zużycie lepiszczy do skropienia warstw konstrukcyjnych nawierzchni podano w tablicy 1.</w:t>
      </w:r>
    </w:p>
    <w:p w:rsidR="00DF6D75" w:rsidRPr="00D77ECF" w:rsidRDefault="00DF6D75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DF6D75" w:rsidRPr="00D77ECF" w:rsidRDefault="00DF6D75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DF6D75" w:rsidRDefault="00DF6D75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B80964" w:rsidRDefault="00B80964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B80964" w:rsidRDefault="00B80964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B80964" w:rsidRPr="00D77ECF" w:rsidRDefault="00B80964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DF6D75" w:rsidRPr="00D77ECF" w:rsidRDefault="00DF6D75" w:rsidP="00D77ECF">
      <w:pPr>
        <w:spacing w:before="120" w:after="120"/>
        <w:ind w:left="1134" w:hanging="1134"/>
        <w:rPr>
          <w:rFonts w:asciiTheme="majorHAnsi" w:hAnsiTheme="majorHAnsi"/>
        </w:rPr>
      </w:pPr>
      <w:r w:rsidRPr="00D77ECF">
        <w:rPr>
          <w:rFonts w:asciiTheme="majorHAnsi" w:hAnsiTheme="majorHAnsi"/>
        </w:rPr>
        <w:lastRenderedPageBreak/>
        <w:t>Tablica 1. Orientacyjne zużycie lepiszczy do skropienia warstw konstrukcyjnych nawierzchni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4252"/>
        <w:gridCol w:w="2762"/>
      </w:tblGrid>
      <w:tr w:rsidR="00DF6D75" w:rsidRPr="00D77ECF">
        <w:tc>
          <w:tcPr>
            <w:tcW w:w="496" w:type="dxa"/>
            <w:tcBorders>
              <w:bottom w:val="double" w:sz="6" w:space="0" w:color="auto"/>
            </w:tcBorders>
          </w:tcPr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Lp.</w:t>
            </w:r>
          </w:p>
        </w:tc>
        <w:tc>
          <w:tcPr>
            <w:tcW w:w="4252" w:type="dxa"/>
            <w:tcBorders>
              <w:bottom w:val="double" w:sz="6" w:space="0" w:color="auto"/>
            </w:tcBorders>
          </w:tcPr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Rodzaj lepiszcza</w:t>
            </w:r>
          </w:p>
        </w:tc>
        <w:tc>
          <w:tcPr>
            <w:tcW w:w="2762" w:type="dxa"/>
            <w:tcBorders>
              <w:bottom w:val="double" w:sz="6" w:space="0" w:color="auto"/>
            </w:tcBorders>
          </w:tcPr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Zużycie (kg/m</w:t>
            </w:r>
            <w:r w:rsidRPr="00D77ECF">
              <w:rPr>
                <w:rFonts w:asciiTheme="majorHAnsi" w:hAnsiTheme="majorHAnsi"/>
                <w:vertAlign w:val="superscript"/>
              </w:rPr>
              <w:t>2</w:t>
            </w:r>
            <w:r w:rsidRPr="00D77ECF">
              <w:rPr>
                <w:rFonts w:asciiTheme="majorHAnsi" w:hAnsiTheme="majorHAnsi"/>
              </w:rPr>
              <w:t>)</w:t>
            </w:r>
          </w:p>
        </w:tc>
      </w:tr>
      <w:tr w:rsidR="00DF6D75" w:rsidRPr="00D77ECF">
        <w:trPr>
          <w:trHeight w:val="512"/>
        </w:trPr>
        <w:tc>
          <w:tcPr>
            <w:tcW w:w="496" w:type="dxa"/>
            <w:tcBorders>
              <w:top w:val="nil"/>
            </w:tcBorders>
          </w:tcPr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:rsidR="00DF6D75" w:rsidRPr="00D77ECF" w:rsidRDefault="00B80964" w:rsidP="00D77ECF">
            <w:pPr>
              <w:spacing w:before="6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2762" w:type="dxa"/>
            <w:tcBorders>
              <w:top w:val="nil"/>
            </w:tcBorders>
          </w:tcPr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od 0,4  do  1,2</w:t>
            </w:r>
          </w:p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</w:p>
        </w:tc>
      </w:tr>
    </w:tbl>
    <w:p w:rsidR="00DF6D75" w:rsidRPr="00D77ECF" w:rsidRDefault="00DF6D75" w:rsidP="00D77ECF">
      <w:pPr>
        <w:rPr>
          <w:rFonts w:asciiTheme="majorHAnsi" w:hAnsiTheme="majorHAnsi"/>
        </w:rPr>
      </w:pP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Dokładne zużycie lepiszczy powinno być ustalone w zależności od rodzaju warstwy i stanu jej powierzchni i zaakceptowane przez Inżyniera.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99" w:name="_Toc407069671"/>
      <w:bookmarkStart w:id="100" w:name="_Toc407081636"/>
      <w:bookmarkStart w:id="101" w:name="_Toc407081779"/>
      <w:bookmarkStart w:id="102" w:name="_Toc407083435"/>
      <w:bookmarkStart w:id="103" w:name="_Toc407084269"/>
      <w:bookmarkStart w:id="104" w:name="_Toc407085388"/>
      <w:bookmarkStart w:id="105" w:name="_Toc407085531"/>
      <w:bookmarkStart w:id="106" w:name="_Toc407085674"/>
      <w:bookmarkStart w:id="107" w:name="_Toc407086122"/>
      <w:r w:rsidRPr="00D77ECF">
        <w:rPr>
          <w:rFonts w:asciiTheme="majorHAnsi" w:hAnsiTheme="majorHAnsi"/>
        </w:rPr>
        <w:t>2.5. Składowanie lepiszczy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Warunki przechowywania nie mogą powodować utraty cech lepiszcza i obniżenia jego jakości.</w:t>
      </w: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Lepiszcze należy przechowywać w zbiornikach stalowych wyposażonych w urządzenia grzewcze i zabezpieczonych przed dostępem wody i zanieczyszczeniem. Dopuszcza się magazynowanie lepiszczy w zbiornikach murowanych, betonowych lub żelbetowych przy spełnieniu tych samych warunków, jakie podano dla zbiorników stalowych.</w:t>
      </w: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Emulsję można magazynować w opakowaniach transportowych lub stacjonarnych zbiornikach pionowych z nalewaniem od dna.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Nie należy stosować zbiornika walcowego leżącego, ze względu na tworzenie się na dużej powierzchni cieczy „kożucha” asfaltowego zatykającego później przewody.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Przy przechowywaniu emulsji asfaltowej należy przestrzegać zasad ustalonych przez producenta.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108" w:name="_Toc407069672"/>
      <w:bookmarkStart w:id="109" w:name="_Toc407081637"/>
      <w:bookmarkStart w:id="110" w:name="_Toc407081780"/>
      <w:bookmarkStart w:id="111" w:name="_Toc407083436"/>
      <w:bookmarkStart w:id="112" w:name="_Toc407084270"/>
      <w:bookmarkStart w:id="113" w:name="_Toc407085389"/>
      <w:bookmarkStart w:id="114" w:name="_Toc407085532"/>
      <w:bookmarkStart w:id="115" w:name="_Toc407085675"/>
      <w:bookmarkStart w:id="116" w:name="_Toc407086123"/>
      <w:r w:rsidRPr="00D77ECF">
        <w:rPr>
          <w:rFonts w:asciiTheme="majorHAnsi" w:hAnsiTheme="majorHAnsi"/>
        </w:rPr>
        <w:t>3. sprzęt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17" w:name="_Toc407069673"/>
      <w:bookmarkStart w:id="118" w:name="_Toc407081638"/>
      <w:bookmarkStart w:id="119" w:name="_Toc407081781"/>
      <w:bookmarkStart w:id="120" w:name="_Toc407083437"/>
      <w:bookmarkStart w:id="121" w:name="_Toc407084271"/>
      <w:bookmarkStart w:id="122" w:name="_Toc407085390"/>
      <w:bookmarkStart w:id="123" w:name="_Toc407085533"/>
      <w:bookmarkStart w:id="124" w:name="_Toc407085676"/>
      <w:bookmarkStart w:id="125" w:name="_Toc407086124"/>
      <w:r w:rsidRPr="00D77ECF">
        <w:rPr>
          <w:rFonts w:asciiTheme="majorHAnsi" w:hAnsiTheme="majorHAnsi"/>
        </w:rPr>
        <w:t>3.1. Ogólne wymagania dotyczące sprzętu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wymagania dotyczące sprzętu podano w OST D-M-00.00.00 „Wymagania ogólne” pkt 3.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26" w:name="_Toc407069674"/>
      <w:bookmarkStart w:id="127" w:name="_Toc407081639"/>
      <w:bookmarkStart w:id="128" w:name="_Toc407081782"/>
      <w:bookmarkStart w:id="129" w:name="_Toc407083438"/>
      <w:bookmarkStart w:id="130" w:name="_Toc407084272"/>
      <w:bookmarkStart w:id="131" w:name="_Toc407085391"/>
      <w:bookmarkStart w:id="132" w:name="_Toc407085534"/>
      <w:bookmarkStart w:id="133" w:name="_Toc407085677"/>
      <w:bookmarkStart w:id="134" w:name="_Toc407086125"/>
      <w:r w:rsidRPr="00D77ECF">
        <w:rPr>
          <w:rFonts w:asciiTheme="majorHAnsi" w:hAnsiTheme="majorHAnsi"/>
        </w:rPr>
        <w:t>3.2. Sprzęt do oczyszczania warstw nawierzchni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Wykonawca przystępujący do oczyszczania warstw nawierzchni, powinien wykazać się możliwością korzystania z następującego sprzętu: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 xml:space="preserve">szczotek mechanicznych,              </w:t>
      </w: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 xml:space="preserve">Zaleca się użycie urządzeń </w:t>
      </w:r>
      <w:proofErr w:type="spellStart"/>
      <w:r w:rsidRPr="00D77ECF">
        <w:rPr>
          <w:rFonts w:asciiTheme="majorHAnsi" w:hAnsiTheme="majorHAnsi"/>
        </w:rPr>
        <w:t>dwuszczotkowych</w:t>
      </w:r>
      <w:proofErr w:type="spellEnd"/>
      <w:r w:rsidRPr="00D77ECF">
        <w:rPr>
          <w:rFonts w:asciiTheme="majorHAnsi" w:hAnsiTheme="majorHAnsi"/>
        </w:rPr>
        <w:t>. Pierwsza ze szczotek powinna być wykonana z twardych elementów czyszczących i służyć do zdrapywania oraz usuwania zanieczyszczeń przylegających do czyszczonej warstwy. Druga szczotka powinna posiadać miękkie elementy czyszczące i służyć do zamiatania. Zaleca się używanie szczotek wyposażonych w urządzenia odpylające,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sprężarek,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zbiorników z wodą,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szczotek ręcznych.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35" w:name="_Toc407069675"/>
      <w:bookmarkStart w:id="136" w:name="_Toc407081640"/>
      <w:bookmarkStart w:id="137" w:name="_Toc407081783"/>
      <w:bookmarkStart w:id="138" w:name="_Toc407083439"/>
      <w:bookmarkStart w:id="139" w:name="_Toc407084273"/>
      <w:bookmarkStart w:id="140" w:name="_Toc407085392"/>
      <w:bookmarkStart w:id="141" w:name="_Toc407085535"/>
      <w:bookmarkStart w:id="142" w:name="_Toc407085678"/>
      <w:bookmarkStart w:id="143" w:name="_Toc407086126"/>
      <w:r w:rsidRPr="00D77ECF">
        <w:rPr>
          <w:rFonts w:asciiTheme="majorHAnsi" w:hAnsiTheme="majorHAnsi"/>
        </w:rPr>
        <w:t>3.3. Sprzęt do skrapiania warstw nawierzchni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Do skrapiania warstw nawierzchni należy używać skrapiarkę lepiszcza. Skrapiarka powinna być wyposażona w urządzenia pomiarowo-kontrolne pozwalające na sprawdzanie i regulowanie następujących parametrów: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temperatury rozkładanego lepiszcza,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ciśnienia lepiszcza w kolektorze,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obrotów pompy dozującej lepiszcze,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prędkości poruszania się skrapiarki,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wysokości i długości kolektora do rozkładania lepiszcza,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dozatora lepiszcza.</w:t>
      </w: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Zbiornik na lepiszcze skrapiarki powinien być izolowany termicznie tak, aby było możliwe zachowanie stałej temperatury lepiszcza.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Wykonawca powinien posiadać aktualne świadectwo cechowania skrapiarki.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Skrapiarka powinna zapewnić rozkładanie lepiszcza z tolerancją </w:t>
      </w:r>
      <w:r w:rsidRPr="00D77ECF">
        <w:rPr>
          <w:rFonts w:asciiTheme="majorHAnsi" w:hAnsiTheme="majorHAnsi"/>
        </w:rPr>
        <w:sym w:font="Symbol" w:char="F0B1"/>
      </w:r>
      <w:r w:rsidRPr="00D77ECF">
        <w:rPr>
          <w:rFonts w:asciiTheme="majorHAnsi" w:hAnsiTheme="majorHAnsi"/>
        </w:rPr>
        <w:t xml:space="preserve"> 10% od ilości założonej.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144" w:name="_Toc407069676"/>
      <w:bookmarkStart w:id="145" w:name="_Toc407081641"/>
      <w:bookmarkStart w:id="146" w:name="_Toc407081784"/>
      <w:bookmarkStart w:id="147" w:name="_Toc407083440"/>
      <w:bookmarkStart w:id="148" w:name="_Toc407084274"/>
      <w:bookmarkStart w:id="149" w:name="_Toc407085393"/>
      <w:bookmarkStart w:id="150" w:name="_Toc407085536"/>
      <w:bookmarkStart w:id="151" w:name="_Toc407085679"/>
      <w:bookmarkStart w:id="152" w:name="_Toc407086127"/>
      <w:r w:rsidRPr="00D77ECF">
        <w:rPr>
          <w:rFonts w:asciiTheme="majorHAnsi" w:hAnsiTheme="majorHAnsi"/>
        </w:rPr>
        <w:t>4. transport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53" w:name="_Toc407069677"/>
      <w:bookmarkStart w:id="154" w:name="_Toc407081642"/>
      <w:bookmarkStart w:id="155" w:name="_Toc407081785"/>
      <w:bookmarkStart w:id="156" w:name="_Toc407083441"/>
      <w:bookmarkStart w:id="157" w:name="_Toc407084275"/>
      <w:bookmarkStart w:id="158" w:name="_Toc407085394"/>
      <w:bookmarkStart w:id="159" w:name="_Toc407085537"/>
      <w:bookmarkStart w:id="160" w:name="_Toc407085680"/>
      <w:bookmarkStart w:id="161" w:name="_Toc407086128"/>
      <w:r w:rsidRPr="00D77ECF">
        <w:rPr>
          <w:rFonts w:asciiTheme="majorHAnsi" w:hAnsiTheme="majorHAnsi"/>
        </w:rPr>
        <w:t>4.1. Ogólne wymagania dotyczące transportu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wymagania dotyczące transportu podano w OST D-M-00.00.00 „Wymagania ogólne” pkt 4.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62" w:name="_Toc407069678"/>
      <w:bookmarkStart w:id="163" w:name="_Toc407081643"/>
      <w:bookmarkStart w:id="164" w:name="_Toc407081786"/>
      <w:bookmarkStart w:id="165" w:name="_Toc407083442"/>
      <w:bookmarkStart w:id="166" w:name="_Toc407084276"/>
      <w:bookmarkStart w:id="167" w:name="_Toc407085395"/>
      <w:bookmarkStart w:id="168" w:name="_Toc407085538"/>
      <w:bookmarkStart w:id="169" w:name="_Toc407085681"/>
      <w:bookmarkStart w:id="170" w:name="_Toc407086129"/>
      <w:r w:rsidRPr="00D77ECF">
        <w:rPr>
          <w:rFonts w:asciiTheme="majorHAnsi" w:hAnsiTheme="majorHAnsi"/>
        </w:rPr>
        <w:lastRenderedPageBreak/>
        <w:t>4.2. Transport lepiszczy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Emulsja może być transportowana w cysternach, autocysternach, skrapiarkach, beczkach i innych opakowaniach pod warunkiem, że nie będą korodowały pod wpływem emulsji i nie będą powodowały jej rozpadu. Cysterny przeznaczone do przewozu emulsji powinny być przedzielone przegrodami, dzielącymi je na komory o pojemności nie większej niż </w:t>
      </w:r>
      <w:smartTag w:uri="urn:schemas-microsoft-com:office:smarttags" w:element="metricconverter">
        <w:smartTagPr>
          <w:attr w:name="ProductID" w:val="1 m3"/>
        </w:smartTagPr>
        <w:r w:rsidRPr="00D77ECF">
          <w:rPr>
            <w:rFonts w:asciiTheme="majorHAnsi" w:hAnsiTheme="majorHAnsi"/>
          </w:rPr>
          <w:t>1 m</w:t>
        </w:r>
        <w:r w:rsidRPr="00D77ECF">
          <w:rPr>
            <w:rFonts w:asciiTheme="majorHAnsi" w:hAnsiTheme="majorHAnsi"/>
            <w:vertAlign w:val="superscript"/>
          </w:rPr>
          <w:t>3</w:t>
        </w:r>
      </w:smartTag>
      <w:r w:rsidRPr="00D77ECF">
        <w:rPr>
          <w:rFonts w:asciiTheme="majorHAnsi" w:hAnsiTheme="majorHAnsi"/>
        </w:rPr>
        <w:t>, a każda przegroda powinna mieć wykroje w dnie umożliwiające przepływ emulsji. Cysterny, pojemniki i zbiorniki przeznaczone do transportu lub składowania emulsji powinny być czyste i nie powinny zawierać resztek innych lepiszczy.</w:t>
      </w:r>
    </w:p>
    <w:p w:rsidR="00DF6D75" w:rsidRPr="00D77ECF" w:rsidRDefault="00DF6D75" w:rsidP="00D77ECF">
      <w:pPr>
        <w:pStyle w:val="Nagwek1"/>
        <w:spacing w:before="120"/>
        <w:rPr>
          <w:rFonts w:asciiTheme="majorHAnsi" w:hAnsiTheme="majorHAnsi"/>
        </w:rPr>
      </w:pPr>
      <w:bookmarkStart w:id="171" w:name="_Toc407069679"/>
      <w:bookmarkStart w:id="172" w:name="_Toc407081644"/>
      <w:bookmarkStart w:id="173" w:name="_Toc407081787"/>
      <w:bookmarkStart w:id="174" w:name="_Toc407083443"/>
      <w:bookmarkStart w:id="175" w:name="_Toc407084277"/>
      <w:bookmarkStart w:id="176" w:name="_Toc407085396"/>
      <w:bookmarkStart w:id="177" w:name="_Toc407085539"/>
      <w:bookmarkStart w:id="178" w:name="_Toc407085682"/>
      <w:bookmarkStart w:id="179" w:name="_Toc407086130"/>
      <w:r w:rsidRPr="00D77ECF">
        <w:rPr>
          <w:rFonts w:asciiTheme="majorHAnsi" w:hAnsiTheme="majorHAnsi"/>
        </w:rPr>
        <w:t>5. wykonanie robót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80" w:name="_Toc407069680"/>
      <w:bookmarkStart w:id="181" w:name="_Toc407081645"/>
      <w:bookmarkStart w:id="182" w:name="_Toc407081788"/>
      <w:bookmarkStart w:id="183" w:name="_Toc407083444"/>
      <w:bookmarkStart w:id="184" w:name="_Toc407084278"/>
      <w:bookmarkStart w:id="185" w:name="_Toc407085397"/>
      <w:bookmarkStart w:id="186" w:name="_Toc407085540"/>
      <w:bookmarkStart w:id="187" w:name="_Toc407085683"/>
      <w:bookmarkStart w:id="188" w:name="_Toc407086131"/>
      <w:r w:rsidRPr="00D77ECF">
        <w:rPr>
          <w:rFonts w:asciiTheme="majorHAnsi" w:hAnsiTheme="majorHAnsi"/>
        </w:rPr>
        <w:t>5.1. Ogólne zasady wykonania robót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zasady wykonania robót podano w OST D-M-00.00.00 „Wymagania ogólne” pkt 5.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89" w:name="_Toc407069681"/>
      <w:bookmarkStart w:id="190" w:name="_Toc407081646"/>
      <w:bookmarkStart w:id="191" w:name="_Toc407081789"/>
      <w:bookmarkStart w:id="192" w:name="_Toc407083445"/>
      <w:bookmarkStart w:id="193" w:name="_Toc407084279"/>
      <w:bookmarkStart w:id="194" w:name="_Toc407085398"/>
      <w:bookmarkStart w:id="195" w:name="_Toc407085541"/>
      <w:bookmarkStart w:id="196" w:name="_Toc407085684"/>
      <w:bookmarkStart w:id="197" w:name="_Toc407086132"/>
      <w:r w:rsidRPr="00D77ECF">
        <w:rPr>
          <w:rFonts w:asciiTheme="majorHAnsi" w:hAnsiTheme="majorHAnsi"/>
        </w:rPr>
        <w:t>5.2. Oczyszczenie warstw nawierzchni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Oczyszczenie warstw nawierzchni polega na usunięciu luźnego materiału, brudu, błota i kurzu przy użyciu szczotek mechanicznych, a w razie potrzeby wody pod ciśnieniem. W miejscach trudno dostępnych należy używać szczotek ręcznych. W razie potrzeby, na terenach niezabudowanych, bezpośrednio przed skropieniem warstwa powinna być oczyszczona z kurzu przy użyciu sprężonego powietrza.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98" w:name="_Toc407069682"/>
      <w:bookmarkStart w:id="199" w:name="_Toc407081647"/>
      <w:bookmarkStart w:id="200" w:name="_Toc407081790"/>
      <w:bookmarkStart w:id="201" w:name="_Toc407083446"/>
      <w:bookmarkStart w:id="202" w:name="_Toc407084280"/>
      <w:bookmarkStart w:id="203" w:name="_Toc407085399"/>
      <w:bookmarkStart w:id="204" w:name="_Toc407085542"/>
      <w:bookmarkStart w:id="205" w:name="_Toc407085685"/>
      <w:bookmarkStart w:id="206" w:name="_Toc407086133"/>
      <w:r w:rsidRPr="00D77ECF">
        <w:rPr>
          <w:rFonts w:asciiTheme="majorHAnsi" w:hAnsiTheme="majorHAnsi"/>
        </w:rPr>
        <w:t>5.3. Skropienie warstw nawierzchni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Warstwa przed skropieniem powinna być oczyszczona.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Jeżeli do czyszczenia warstwy była używana woda, to skropienie lepiszczem może nastąpić dopiero po wyschnięciu warstwy, z wyjątkiem zastosowania emulsji, przy których nawierzchnia może być wilgotna.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Skropienie warstwy może rozpocząć się po akceptacji przez Inżyniera jej oczyszczenia.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Warstwa nawierzchni powinna być skrapiana lepiszczem przy użyciu skrapiarek, a w miejscach trudno dostępnych ręcznie (za pomocą węża z dyszą rozpryskową).</w:t>
      </w:r>
    </w:p>
    <w:p w:rsidR="00DF6D75" w:rsidRPr="00D77ECF" w:rsidRDefault="00DF6D75" w:rsidP="00D77ECF">
      <w:pPr>
        <w:spacing w:before="120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Jeżeli do skropienia została użyta emulsja asfaltowa, to skropiona warstwa powinna być pozostawiona bez jakiegokolwiek ruchu na czas niezbędny dla umożliwienia penetracji lepiszcza w warstwę i odparowania wody z emulsji. W zależności od rodzaju użytej emulsji czas ten wynosi od 1 godz. do 24 godzin.</w:t>
      </w:r>
    </w:p>
    <w:p w:rsidR="00DF6D75" w:rsidRPr="00D77ECF" w:rsidRDefault="00DF6D75" w:rsidP="00D77ECF">
      <w:pPr>
        <w:pStyle w:val="Tekstpodstawowy"/>
        <w:spacing w:after="120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Przed ułożeniem warstwy z mieszanki mineralno-bitumicznej Wykonawca powinien zabezpieczyć skropioną warstwę nawierzchni przed uszkodzeniem dopuszczając tylko niezbędny ruch budowlany. 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207" w:name="_Toc407069683"/>
      <w:bookmarkStart w:id="208" w:name="_Toc407081648"/>
      <w:bookmarkStart w:id="209" w:name="_Toc407081791"/>
      <w:bookmarkStart w:id="210" w:name="_Toc407083447"/>
      <w:bookmarkStart w:id="211" w:name="_Toc407084281"/>
      <w:bookmarkStart w:id="212" w:name="_Toc407085400"/>
      <w:bookmarkStart w:id="213" w:name="_Toc407085543"/>
      <w:bookmarkStart w:id="214" w:name="_Toc407085686"/>
      <w:bookmarkStart w:id="215" w:name="_Toc407086134"/>
      <w:r w:rsidRPr="00D77ECF">
        <w:rPr>
          <w:rFonts w:asciiTheme="majorHAnsi" w:hAnsiTheme="majorHAnsi"/>
        </w:rPr>
        <w:t>6. kontrola jakości robót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16" w:name="_Toc407069684"/>
      <w:bookmarkStart w:id="217" w:name="_Toc407081649"/>
      <w:bookmarkStart w:id="218" w:name="_Toc407081792"/>
      <w:bookmarkStart w:id="219" w:name="_Toc407083448"/>
      <w:bookmarkStart w:id="220" w:name="_Toc407084282"/>
      <w:bookmarkStart w:id="221" w:name="_Toc407085401"/>
      <w:bookmarkStart w:id="222" w:name="_Toc407085544"/>
      <w:bookmarkStart w:id="223" w:name="_Toc407085687"/>
      <w:bookmarkStart w:id="224" w:name="_Toc407086135"/>
      <w:r w:rsidRPr="00D77ECF">
        <w:rPr>
          <w:rFonts w:asciiTheme="majorHAnsi" w:hAnsiTheme="majorHAnsi"/>
        </w:rPr>
        <w:t>6.1. Ogólne zasady kontroli jakości robót</w:t>
      </w:r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zasady kontroli jakości robót podano w OST D-M-00.00.00 „Wymagania ogólne” pkt 6.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25" w:name="_Toc407069685"/>
      <w:bookmarkStart w:id="226" w:name="_Toc407081650"/>
      <w:bookmarkStart w:id="227" w:name="_Toc407081793"/>
      <w:bookmarkStart w:id="228" w:name="_Toc407083449"/>
      <w:bookmarkStart w:id="229" w:name="_Toc407084283"/>
      <w:bookmarkStart w:id="230" w:name="_Toc407085402"/>
      <w:bookmarkStart w:id="231" w:name="_Toc407085545"/>
      <w:bookmarkStart w:id="232" w:name="_Toc407085688"/>
      <w:bookmarkStart w:id="233" w:name="_Toc407086136"/>
      <w:r w:rsidRPr="00D77ECF">
        <w:rPr>
          <w:rFonts w:asciiTheme="majorHAnsi" w:hAnsiTheme="majorHAnsi"/>
        </w:rPr>
        <w:t>6.2. Badania przed przystąpieniem do robót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r w:rsidRPr="00D77ECF">
        <w:rPr>
          <w:rFonts w:asciiTheme="majorHAnsi" w:hAnsiTheme="majorHAnsi"/>
        </w:rPr>
        <w:t xml:space="preserve"> –nie wymaga się</w:t>
      </w:r>
      <w:r w:rsidRPr="00D77ECF">
        <w:rPr>
          <w:rFonts w:asciiTheme="majorHAnsi" w:hAnsiTheme="majorHAnsi"/>
        </w:rPr>
        <w:tab/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34" w:name="_Toc407069686"/>
      <w:bookmarkStart w:id="235" w:name="_Toc407081651"/>
      <w:bookmarkStart w:id="236" w:name="_Toc407081794"/>
      <w:bookmarkStart w:id="237" w:name="_Toc407083450"/>
      <w:bookmarkStart w:id="238" w:name="_Toc407084284"/>
      <w:bookmarkStart w:id="239" w:name="_Toc407085403"/>
      <w:bookmarkStart w:id="240" w:name="_Toc407085546"/>
      <w:bookmarkStart w:id="241" w:name="_Toc407085689"/>
      <w:bookmarkStart w:id="242" w:name="_Toc407086137"/>
      <w:r w:rsidRPr="00D77ECF">
        <w:rPr>
          <w:rFonts w:asciiTheme="majorHAnsi" w:hAnsiTheme="majorHAnsi"/>
        </w:rPr>
        <w:t>6.3. Badania w czasie robót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:rsidR="00DF6D75" w:rsidRPr="00D77ECF" w:rsidRDefault="00DF6D75" w:rsidP="00D77ECF">
      <w:pPr>
        <w:spacing w:after="120"/>
        <w:rPr>
          <w:rFonts w:asciiTheme="majorHAnsi" w:hAnsiTheme="majorHAnsi"/>
        </w:rPr>
      </w:pPr>
      <w:r w:rsidRPr="00D77ECF">
        <w:rPr>
          <w:rFonts w:asciiTheme="majorHAnsi" w:hAnsiTheme="majorHAnsi"/>
          <w:b/>
        </w:rPr>
        <w:t xml:space="preserve">6.3.1. </w:t>
      </w:r>
      <w:r w:rsidRPr="00D77ECF">
        <w:rPr>
          <w:rFonts w:asciiTheme="majorHAnsi" w:hAnsiTheme="majorHAnsi"/>
        </w:rPr>
        <w:t>Badania lepiszczy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Ocena lepiszczy powinna być oparta na atestach producenta 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243" w:name="_Toc407069687"/>
      <w:bookmarkStart w:id="244" w:name="_Toc407081652"/>
      <w:bookmarkStart w:id="245" w:name="_Toc407081795"/>
      <w:bookmarkStart w:id="246" w:name="_Toc407083451"/>
      <w:bookmarkStart w:id="247" w:name="_Toc407084285"/>
      <w:bookmarkStart w:id="248" w:name="_Toc407085404"/>
      <w:bookmarkStart w:id="249" w:name="_Toc407085547"/>
      <w:bookmarkStart w:id="250" w:name="_Toc407085690"/>
      <w:bookmarkStart w:id="251" w:name="_Toc407086138"/>
      <w:r w:rsidRPr="00D77ECF">
        <w:rPr>
          <w:rFonts w:asciiTheme="majorHAnsi" w:hAnsiTheme="majorHAnsi"/>
        </w:rPr>
        <w:t>7. obmiar robót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52" w:name="_Toc407069688"/>
      <w:bookmarkStart w:id="253" w:name="_Toc407081653"/>
      <w:bookmarkStart w:id="254" w:name="_Toc407081796"/>
      <w:bookmarkStart w:id="255" w:name="_Toc407083452"/>
      <w:bookmarkStart w:id="256" w:name="_Toc407084286"/>
      <w:bookmarkStart w:id="257" w:name="_Toc407085405"/>
      <w:bookmarkStart w:id="258" w:name="_Toc407085548"/>
      <w:bookmarkStart w:id="259" w:name="_Toc407085691"/>
      <w:bookmarkStart w:id="260" w:name="_Toc407086139"/>
      <w:r w:rsidRPr="00D77ECF">
        <w:rPr>
          <w:rFonts w:asciiTheme="majorHAnsi" w:hAnsiTheme="majorHAnsi"/>
        </w:rPr>
        <w:t>7.1. Ogólne zasady obmiaru robót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zasady obmiaru robót podano w OST D-M-00.00.00 „Wymagania ogólne” pkt 7.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61" w:name="_Toc407069689"/>
      <w:bookmarkStart w:id="262" w:name="_Toc407081654"/>
      <w:bookmarkStart w:id="263" w:name="_Toc407081797"/>
      <w:bookmarkStart w:id="264" w:name="_Toc407083453"/>
      <w:bookmarkStart w:id="265" w:name="_Toc407084287"/>
      <w:bookmarkStart w:id="266" w:name="_Toc407085406"/>
      <w:bookmarkStart w:id="267" w:name="_Toc407085549"/>
      <w:bookmarkStart w:id="268" w:name="_Toc407085692"/>
      <w:bookmarkStart w:id="269" w:name="_Toc407086140"/>
      <w:r w:rsidRPr="00D77ECF">
        <w:rPr>
          <w:rFonts w:asciiTheme="majorHAnsi" w:hAnsiTheme="majorHAnsi"/>
        </w:rPr>
        <w:t>7.2. Jednostka obmiarowa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Jednostką obmiarową jest: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>- m</w:t>
      </w:r>
      <w:r w:rsidRPr="00D77ECF">
        <w:rPr>
          <w:rFonts w:asciiTheme="majorHAnsi" w:hAnsiTheme="majorHAnsi"/>
          <w:vertAlign w:val="superscript"/>
        </w:rPr>
        <w:t>2</w:t>
      </w:r>
      <w:r w:rsidRPr="00D77ECF">
        <w:rPr>
          <w:rFonts w:asciiTheme="majorHAnsi" w:hAnsiTheme="majorHAnsi"/>
        </w:rPr>
        <w:t xml:space="preserve"> (metr kwadratowy) oczyszczonej powierzchni,</w:t>
      </w:r>
    </w:p>
    <w:p w:rsidR="00DF6D75" w:rsidRPr="00D77ECF" w:rsidRDefault="00DF6D75" w:rsidP="00D77ECF">
      <w:pPr>
        <w:spacing w:after="120"/>
        <w:rPr>
          <w:rFonts w:asciiTheme="majorHAnsi" w:hAnsiTheme="majorHAnsi"/>
        </w:rPr>
      </w:pPr>
      <w:r w:rsidRPr="00D77ECF">
        <w:rPr>
          <w:rFonts w:asciiTheme="majorHAnsi" w:hAnsiTheme="majorHAnsi"/>
        </w:rPr>
        <w:t>- m</w:t>
      </w:r>
      <w:r w:rsidRPr="00D77ECF">
        <w:rPr>
          <w:rFonts w:asciiTheme="majorHAnsi" w:hAnsiTheme="majorHAnsi"/>
          <w:vertAlign w:val="superscript"/>
        </w:rPr>
        <w:t>2</w:t>
      </w:r>
      <w:r w:rsidRPr="00D77ECF">
        <w:rPr>
          <w:rFonts w:asciiTheme="majorHAnsi" w:hAnsiTheme="majorHAnsi"/>
        </w:rPr>
        <w:t xml:space="preserve"> (metr kwadratowy) powierzchni skropionej.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270" w:name="_Toc407069690"/>
      <w:bookmarkStart w:id="271" w:name="_Toc407081655"/>
      <w:bookmarkStart w:id="272" w:name="_Toc407081798"/>
      <w:bookmarkStart w:id="273" w:name="_Toc407083454"/>
      <w:bookmarkStart w:id="274" w:name="_Toc407084288"/>
      <w:bookmarkStart w:id="275" w:name="_Toc407085407"/>
      <w:bookmarkStart w:id="276" w:name="_Toc407085550"/>
      <w:bookmarkStart w:id="277" w:name="_Toc407085693"/>
      <w:bookmarkStart w:id="278" w:name="_Toc407086141"/>
      <w:r w:rsidRPr="00D77ECF">
        <w:rPr>
          <w:rFonts w:asciiTheme="majorHAnsi" w:hAnsiTheme="majorHAnsi"/>
        </w:rPr>
        <w:t>8. odbiór robót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zasady odbioru robót podano w OST D-M-00.00.00 „Wymagania ogólne” pkt 8.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lastRenderedPageBreak/>
        <w:tab/>
        <w:t>Roboty uznaje się za wykonane zgodnie z dokumentacją projektową, SST i wymaganiami Inżyniera, jeżeli wszystkie pomiary i badania z zachowaniem tolerancji wg pkt 6 dały wyniki pozytywne.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279" w:name="_Toc407069691"/>
      <w:bookmarkStart w:id="280" w:name="_Toc407081656"/>
      <w:bookmarkStart w:id="281" w:name="_Toc407081799"/>
      <w:bookmarkStart w:id="282" w:name="_Toc407083455"/>
      <w:bookmarkStart w:id="283" w:name="_Toc407084289"/>
      <w:bookmarkStart w:id="284" w:name="_Toc407085408"/>
      <w:bookmarkStart w:id="285" w:name="_Toc407085551"/>
      <w:bookmarkStart w:id="286" w:name="_Toc407085694"/>
      <w:bookmarkStart w:id="287" w:name="_Toc407086142"/>
      <w:r w:rsidRPr="00D77ECF">
        <w:rPr>
          <w:rFonts w:asciiTheme="majorHAnsi" w:hAnsiTheme="majorHAnsi"/>
        </w:rPr>
        <w:t>9. podstawa płatności</w:t>
      </w:r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88" w:name="_Toc407069692"/>
      <w:bookmarkStart w:id="289" w:name="_Toc407081657"/>
      <w:bookmarkStart w:id="290" w:name="_Toc407081800"/>
      <w:bookmarkStart w:id="291" w:name="_Toc407083456"/>
      <w:bookmarkStart w:id="292" w:name="_Toc407084290"/>
      <w:bookmarkStart w:id="293" w:name="_Toc407085409"/>
      <w:bookmarkStart w:id="294" w:name="_Toc407085552"/>
      <w:bookmarkStart w:id="295" w:name="_Toc407085695"/>
      <w:bookmarkStart w:id="296" w:name="_Toc407086143"/>
      <w:r w:rsidRPr="00D77ECF">
        <w:rPr>
          <w:rFonts w:asciiTheme="majorHAnsi" w:hAnsiTheme="majorHAnsi"/>
        </w:rPr>
        <w:t>9.1. Ogólne ustalenia dotyczące podstawy płatności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>Ogólne ustalenia dotyczące podstawy płatności podano w OST D-M-00.00.00 „Wymagania ogólne” pkt 9.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97" w:name="_Toc407069693"/>
      <w:bookmarkStart w:id="298" w:name="_Toc407081658"/>
      <w:bookmarkStart w:id="299" w:name="_Toc407081801"/>
      <w:bookmarkStart w:id="300" w:name="_Toc407083457"/>
      <w:bookmarkStart w:id="301" w:name="_Toc407084291"/>
      <w:bookmarkStart w:id="302" w:name="_Toc407085410"/>
      <w:bookmarkStart w:id="303" w:name="_Toc407085553"/>
      <w:bookmarkStart w:id="304" w:name="_Toc407085696"/>
      <w:bookmarkStart w:id="305" w:name="_Toc407086144"/>
      <w:r w:rsidRPr="00D77ECF">
        <w:rPr>
          <w:rFonts w:asciiTheme="majorHAnsi" w:hAnsiTheme="majorHAnsi"/>
        </w:rPr>
        <w:t>9.2. Cena jednostki obmiarowej</w:t>
      </w:r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Cena </w:t>
      </w:r>
      <w:smartTag w:uri="urn:schemas-microsoft-com:office:smarttags" w:element="metricconverter">
        <w:smartTagPr>
          <w:attr w:name="ProductID" w:val="1 m2"/>
        </w:smartTagPr>
        <w:r w:rsidRPr="00D77ECF">
          <w:rPr>
            <w:rFonts w:asciiTheme="majorHAnsi" w:hAnsiTheme="majorHAnsi"/>
          </w:rPr>
          <w:t>1 m</w:t>
        </w:r>
        <w:r w:rsidRPr="00D77ECF">
          <w:rPr>
            <w:rFonts w:asciiTheme="majorHAnsi" w:hAnsiTheme="majorHAnsi"/>
            <w:vertAlign w:val="superscript"/>
          </w:rPr>
          <w:t>2</w:t>
        </w:r>
      </w:smartTag>
      <w:r w:rsidRPr="00D77ECF">
        <w:rPr>
          <w:rFonts w:asciiTheme="majorHAnsi" w:hAnsiTheme="majorHAnsi"/>
        </w:rPr>
        <w:t xml:space="preserve">  oczyszczenia warstw konstrukcyjnych obejmuje: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 xml:space="preserve">mechaniczne oczyszczenie każdej niżej położonej warstwy konstrukcyjnej nawierzchni z ewentualnym polewaniem wodą lub użyciem sprężonego powietrza, 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ręczne odspojenie stwardniałych zanieczyszczeń.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Cena </w:t>
      </w:r>
      <w:smartTag w:uri="urn:schemas-microsoft-com:office:smarttags" w:element="metricconverter">
        <w:smartTagPr>
          <w:attr w:name="ProductID" w:val="1 m2"/>
        </w:smartTagPr>
        <w:r w:rsidRPr="00D77ECF">
          <w:rPr>
            <w:rFonts w:asciiTheme="majorHAnsi" w:hAnsiTheme="majorHAnsi"/>
          </w:rPr>
          <w:t>1 m</w:t>
        </w:r>
        <w:r w:rsidRPr="00D77ECF">
          <w:rPr>
            <w:rFonts w:asciiTheme="majorHAnsi" w:hAnsiTheme="majorHAnsi"/>
            <w:vertAlign w:val="superscript"/>
          </w:rPr>
          <w:t>2</w:t>
        </w:r>
      </w:smartTag>
      <w:r w:rsidRPr="00D77ECF">
        <w:rPr>
          <w:rFonts w:asciiTheme="majorHAnsi" w:hAnsiTheme="majorHAnsi"/>
        </w:rPr>
        <w:t xml:space="preserve"> skropienia warstw konstrukcyjnych obejmuje: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dostarczenie lepiszcza i napełnienie nim skrapiarek,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podgrzanie lepiszcza do wymaganej temperatury,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skropienie powierzchni warstwy lepiszczem,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przeprowadzenie pomiarów i badań laboratoryjnych wymaganych w specyfikacji technicznej.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306" w:name="_Toc407069694"/>
      <w:bookmarkStart w:id="307" w:name="_Toc407081659"/>
      <w:bookmarkStart w:id="308" w:name="_Toc407081802"/>
      <w:bookmarkStart w:id="309" w:name="_Toc407083458"/>
      <w:bookmarkStart w:id="310" w:name="_Toc407084292"/>
      <w:bookmarkStart w:id="311" w:name="_Toc407085411"/>
      <w:bookmarkStart w:id="312" w:name="_Toc407085554"/>
      <w:bookmarkStart w:id="313" w:name="_Toc407085697"/>
      <w:bookmarkStart w:id="314" w:name="_Toc407086145"/>
      <w:r w:rsidRPr="00D77ECF">
        <w:rPr>
          <w:rFonts w:asciiTheme="majorHAnsi" w:hAnsiTheme="majorHAnsi"/>
        </w:rPr>
        <w:t>10. przepisy związane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315" w:name="_Toc407069695"/>
      <w:bookmarkStart w:id="316" w:name="_Toc407081660"/>
      <w:bookmarkStart w:id="317" w:name="_Toc407081803"/>
      <w:bookmarkStart w:id="318" w:name="_Toc407083459"/>
      <w:bookmarkStart w:id="319" w:name="_Toc407084293"/>
      <w:bookmarkStart w:id="320" w:name="_Toc407085412"/>
      <w:bookmarkStart w:id="321" w:name="_Toc407085555"/>
      <w:bookmarkStart w:id="322" w:name="_Toc407085698"/>
      <w:bookmarkStart w:id="323" w:name="_Toc407086146"/>
      <w:r w:rsidRPr="00D77ECF">
        <w:rPr>
          <w:rFonts w:asciiTheme="majorHAnsi" w:hAnsiTheme="majorHAnsi"/>
        </w:rPr>
        <w:t>10.1. Normy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984"/>
        <w:gridCol w:w="5030"/>
      </w:tblGrid>
      <w:tr w:rsidR="00DF6D75" w:rsidRPr="00D77ECF">
        <w:tc>
          <w:tcPr>
            <w:tcW w:w="496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1.</w:t>
            </w:r>
          </w:p>
        </w:tc>
        <w:tc>
          <w:tcPr>
            <w:tcW w:w="1984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PN-EN 13808</w:t>
            </w:r>
          </w:p>
        </w:tc>
        <w:tc>
          <w:tcPr>
            <w:tcW w:w="5030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Asfalty i lepiszcza asfaltowe-Zasady kwalifikacji kationowych emulsji asfaltowych”</w:t>
            </w:r>
          </w:p>
        </w:tc>
      </w:tr>
      <w:tr w:rsidR="00DF6D75" w:rsidRPr="00D77ECF">
        <w:tc>
          <w:tcPr>
            <w:tcW w:w="496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  <w:tc>
          <w:tcPr>
            <w:tcW w:w="1984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  <w:tc>
          <w:tcPr>
            <w:tcW w:w="5030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</w:tr>
      <w:tr w:rsidR="00DF6D75" w:rsidRPr="00D77ECF">
        <w:tc>
          <w:tcPr>
            <w:tcW w:w="496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  <w:tc>
          <w:tcPr>
            <w:tcW w:w="1984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  <w:tc>
          <w:tcPr>
            <w:tcW w:w="5030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</w:tr>
    </w:tbl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324" w:name="_Toc407069696"/>
      <w:bookmarkStart w:id="325" w:name="_Toc407081661"/>
      <w:bookmarkStart w:id="326" w:name="_Toc407081804"/>
      <w:bookmarkStart w:id="327" w:name="_Toc407083460"/>
      <w:bookmarkStart w:id="328" w:name="_Toc407084294"/>
      <w:bookmarkStart w:id="329" w:name="_Toc407085413"/>
      <w:bookmarkStart w:id="330" w:name="_Toc407085556"/>
      <w:bookmarkStart w:id="331" w:name="_Toc407085699"/>
      <w:bookmarkStart w:id="332" w:name="_Toc407086147"/>
      <w:r w:rsidRPr="00D77ECF">
        <w:rPr>
          <w:rFonts w:asciiTheme="majorHAnsi" w:hAnsiTheme="majorHAnsi"/>
        </w:rPr>
        <w:t>10.2. Inne dokumenty</w:t>
      </w:r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:rsidR="00DF6D75" w:rsidRPr="00D77ECF" w:rsidRDefault="00DF6D75" w:rsidP="00D77ECF">
      <w:pPr>
        <w:numPr>
          <w:ilvl w:val="0"/>
          <w:numId w:val="4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„Powierzchniowe utrwalenia. Oznaczanie ilości rozkładanego lepiszcza i kruszywa”. Zalecone przez GDDP do stosowania pismem GDDP-5.3a-551/5/92 z dnia 1992-02-03.</w:t>
      </w:r>
    </w:p>
    <w:p w:rsidR="00DF6D75" w:rsidRPr="00D77ECF" w:rsidRDefault="00DF6D75" w:rsidP="00D77ECF">
      <w:pPr>
        <w:numPr>
          <w:ilvl w:val="0"/>
          <w:numId w:val="4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Wymagania techniczne. Kationowe emulsje asfaltowe na drogach publicznych. WT-3.Emulsje asfaltowe 2009. Wymagania techniczne rekomendowane przez Ministra Infrastruktury.</w:t>
      </w:r>
    </w:p>
    <w:p w:rsidR="00DF6D75" w:rsidRPr="00D77ECF" w:rsidRDefault="00DF6D75" w:rsidP="00D77ECF">
      <w:pPr>
        <w:rPr>
          <w:rFonts w:asciiTheme="majorHAnsi" w:hAnsiTheme="majorHAnsi"/>
        </w:rPr>
      </w:pPr>
    </w:p>
    <w:p w:rsidR="00D77ECF" w:rsidRPr="00D77ECF" w:rsidRDefault="00D77ECF">
      <w:pPr>
        <w:rPr>
          <w:rFonts w:asciiTheme="majorHAnsi" w:hAnsiTheme="majorHAnsi"/>
        </w:rPr>
      </w:pPr>
    </w:p>
    <w:sectPr w:rsidR="00D77ECF" w:rsidRPr="00D77ECF" w:rsidSect="00031B50">
      <w:footerReference w:type="even" r:id="rId7"/>
      <w:footerReference w:type="default" r:id="rId8"/>
      <w:pgSz w:w="11907" w:h="16840" w:code="9"/>
      <w:pgMar w:top="851" w:right="1474" w:bottom="851" w:left="1474" w:header="992" w:footer="1009" w:gutter="0"/>
      <w:pgNumType w:start="34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EB8" w:rsidRDefault="00835EB8">
      <w:r>
        <w:separator/>
      </w:r>
    </w:p>
  </w:endnote>
  <w:endnote w:type="continuationSeparator" w:id="0">
    <w:p w:rsidR="00835EB8" w:rsidRDefault="00835E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1" w:fontKey="{857539D8-DCA6-45A3-9FF7-C15BDA65A0F8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A9EAAD16-1588-477A-8E43-B788BCD86DC8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3" w:fontKey="{C8134CAA-A9B3-46FB-91BA-596D19450908}"/>
    <w:embedBold r:id="rId4" w:fontKey="{75BB3AAB-C6C1-4976-80CF-DFAE56199C74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5" w:fontKey="{8B684772-9D37-4987-93F1-A6C0992E13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ECF" w:rsidRDefault="00874172">
    <w:pPr>
      <w:pStyle w:val="Stopka"/>
      <w:jc w:val="right"/>
    </w:pPr>
    <w:fldSimple w:instr=" PAGE   \* MERGEFORMAT ">
      <w:r w:rsidR="00766841">
        <w:rPr>
          <w:noProof/>
        </w:rPr>
        <w:t>34</w:t>
      </w:r>
    </w:fldSimple>
  </w:p>
  <w:p w:rsidR="00B61035" w:rsidRDefault="00B61035" w:rsidP="00B61035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ECF" w:rsidRDefault="00874172" w:rsidP="00031B50">
    <w:pPr>
      <w:pStyle w:val="Stopka"/>
      <w:jc w:val="right"/>
    </w:pPr>
    <w:fldSimple w:instr=" PAGE   \* MERGEFORMAT ">
      <w:r w:rsidR="00766841">
        <w:rPr>
          <w:noProof/>
        </w:rPr>
        <w:t>37</w:t>
      </w:r>
    </w:fldSimple>
  </w:p>
  <w:p w:rsidR="00DF6D75" w:rsidRDefault="00DF6D7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EB8" w:rsidRDefault="00835EB8">
      <w:r>
        <w:separator/>
      </w:r>
    </w:p>
  </w:footnote>
  <w:footnote w:type="continuationSeparator" w:id="0">
    <w:p w:rsidR="00835EB8" w:rsidRDefault="00835E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BE45420"/>
    <w:lvl w:ilvl="0">
      <w:numFmt w:val="decimal"/>
      <w:lvlText w:val="*"/>
      <w:lvlJc w:val="left"/>
    </w:lvl>
  </w:abstractNum>
  <w:abstractNum w:abstractNumId="1">
    <w:nsid w:val="0F1D754C"/>
    <w:multiLevelType w:val="singleLevel"/>
    <w:tmpl w:val="8B42EEBA"/>
    <w:lvl w:ilvl="0">
      <w:start w:val="9"/>
      <w:numFmt w:val="decimal"/>
      <w:lvlText w:val="%1."/>
      <w:legacy w:legacy="1" w:legacySpace="170" w:legacyIndent="227"/>
      <w:lvlJc w:val="right"/>
      <w:pPr>
        <w:ind w:left="227" w:hanging="227"/>
      </w:pPr>
    </w:lvl>
  </w:abstractNum>
  <w:abstractNum w:abstractNumId="2">
    <w:nsid w:val="6D756C40"/>
    <w:multiLevelType w:val="singleLevel"/>
    <w:tmpl w:val="6860B2C0"/>
    <w:lvl w:ilvl="0">
      <w:start w:val="4"/>
      <w:numFmt w:val="decimal"/>
      <w:lvlText w:val="%1."/>
      <w:legacy w:legacy="1" w:legacySpace="57" w:legacyIndent="340"/>
      <w:lvlJc w:val="center"/>
      <w:pPr>
        <w:ind w:left="340" w:hanging="340"/>
      </w:pPr>
    </w:lvl>
  </w:abstractNum>
  <w:abstractNum w:abstractNumId="3">
    <w:nsid w:val="723A7496"/>
    <w:multiLevelType w:val="singleLevel"/>
    <w:tmpl w:val="C82E0A64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mirrorMargins/>
  <w:proofState w:spelling="clean"/>
  <w:attachedTemplate r:id="rId1"/>
  <w:defaultTabStop w:val="709"/>
  <w:hyphenationZone w:val="425"/>
  <w:evenAndOddHeader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D74633"/>
    <w:rsid w:val="00031B50"/>
    <w:rsid w:val="000D4879"/>
    <w:rsid w:val="001625D2"/>
    <w:rsid w:val="002451DB"/>
    <w:rsid w:val="0027028E"/>
    <w:rsid w:val="004C467D"/>
    <w:rsid w:val="00766841"/>
    <w:rsid w:val="0078004F"/>
    <w:rsid w:val="00835EB8"/>
    <w:rsid w:val="00874172"/>
    <w:rsid w:val="00877FC6"/>
    <w:rsid w:val="00951609"/>
    <w:rsid w:val="00B61035"/>
    <w:rsid w:val="00B80964"/>
    <w:rsid w:val="00D74633"/>
    <w:rsid w:val="00D77ECF"/>
    <w:rsid w:val="00DF6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"/>
    <w:qFormat/>
    <w:rsid w:val="00877FC6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877FC6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877FC6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877FC6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877FC6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877FC6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877FC6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877FC6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877FC6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877FC6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877FC6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877FC6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877FC6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semiHidden/>
    <w:rsid w:val="00877FC6"/>
  </w:style>
  <w:style w:type="paragraph" w:customStyle="1" w:styleId="StylIwony">
    <w:name w:val="Styl Iwony"/>
    <w:basedOn w:val="Normalny"/>
    <w:rsid w:val="00877FC6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semiHidden/>
    <w:rsid w:val="00877FC6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uiPriority w:val="99"/>
    <w:rsid w:val="00877FC6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877FC6"/>
  </w:style>
  <w:style w:type="paragraph" w:customStyle="1" w:styleId="tekstost">
    <w:name w:val="tekst ost"/>
    <w:basedOn w:val="Normalny"/>
    <w:rsid w:val="00877FC6"/>
  </w:style>
  <w:style w:type="character" w:styleId="Odwoanieprzypisudolnego">
    <w:name w:val="footnote reference"/>
    <w:basedOn w:val="Domylnaczcionkaakapitu"/>
    <w:semiHidden/>
    <w:rsid w:val="00877FC6"/>
    <w:rPr>
      <w:vertAlign w:val="superscript"/>
    </w:rPr>
  </w:style>
  <w:style w:type="paragraph" w:customStyle="1" w:styleId="Standardowytekst">
    <w:name w:val="Standardowy.tekst"/>
    <w:rsid w:val="00877FC6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Tekstpodstawowy">
    <w:name w:val="Body Text"/>
    <w:basedOn w:val="Normalny"/>
    <w:semiHidden/>
    <w:rsid w:val="00877FC6"/>
    <w:pPr>
      <w:jc w:val="left"/>
    </w:pPr>
  </w:style>
  <w:style w:type="character" w:customStyle="1" w:styleId="StopkaZnak">
    <w:name w:val="Stopka Znak"/>
    <w:basedOn w:val="Domylnaczcionkaakapitu"/>
    <w:uiPriority w:val="99"/>
    <w:rsid w:val="00877F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OST_2_6\ostdoc\Podbudowy\d040101_04030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d040101_040301</Template>
  <TotalTime>7</TotalTime>
  <Pages>4</Pages>
  <Words>1303</Words>
  <Characters>7822</Characters>
  <Application>Microsoft Office Word</Application>
  <DocSecurity>0</DocSecurity>
  <Lines>65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37</vt:i4>
      </vt:variant>
    </vt:vector>
  </HeadingPairs>
  <TitlesOfParts>
    <vt:vector size="38" baseType="lpstr">
      <vt:lpstr>D-04.01.01:04.03.01</vt:lpstr>
      <vt:lpstr>1. WSTĘP</vt:lpstr>
      <vt:lpstr>    1.1. Przedmiot SST</vt:lpstr>
      <vt:lpstr>    1.2. Zakres stosowania SST</vt:lpstr>
      <vt:lpstr>    1.3. Zakres robót objętych SST</vt:lpstr>
      <vt:lpstr>    1.4. Określenia podstawowe</vt:lpstr>
      <vt:lpstr>    1.5. Ogólne wymagania dotyczące robót</vt:lpstr>
      <vt:lpstr>2. materiały</vt:lpstr>
      <vt:lpstr>    2.1. Ogólne wymagania dotyczące materiałów</vt:lpstr>
      <vt:lpstr>    2.2. Rodzaje materiałów do wykonania skropienia</vt:lpstr>
      <vt:lpstr>    2.3. Wymagania dla materiałów</vt:lpstr>
      <vt:lpstr>    2.4. Zużycie lepiszczy do skropienia</vt:lpstr>
      <vt:lpstr>    2.5. Składowanie lepiszczy</vt:lpstr>
      <vt:lpstr>3. sprzęt</vt:lpstr>
      <vt:lpstr>    3.1. Ogólne wymagania dotyczące sprzętu</vt:lpstr>
      <vt:lpstr>    3.2. Sprzęt do oczyszczania warstw nawierzchni</vt:lpstr>
      <vt:lpstr>    3.3. Sprzęt do skrapiania warstw nawierzchni</vt:lpstr>
      <vt:lpstr>4. transport</vt:lpstr>
      <vt:lpstr>    4.1. Ogólne wymagania dotyczące transportu</vt:lpstr>
      <vt:lpstr>    4.2. Transport lepiszczy</vt:lpstr>
      <vt:lpstr>5. wykonanie robót</vt:lpstr>
      <vt:lpstr>    5.1. Ogólne zasady wykonania robót</vt:lpstr>
      <vt:lpstr>    5.2. Oczyszczenie warstw nawierzchni</vt:lpstr>
      <vt:lpstr>    5.3. Skropienie warstw nawierzchni</vt:lpstr>
      <vt:lpstr>6. kontrola jakości robót</vt:lpstr>
      <vt:lpstr>    6.1. Ogólne zasady kontroli jakości robót</vt:lpstr>
      <vt:lpstr>    6.2. Badania przed przystąpieniem do robót –nie wymaga się	</vt:lpstr>
      <vt:lpstr>    6.3. Badania w czasie robót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10.1. Normy</vt:lpstr>
      <vt:lpstr>    10.2. Inne dokumenty</vt:lpstr>
    </vt:vector>
  </TitlesOfParts>
  <Company/>
  <LinksUpToDate>false</LinksUpToDate>
  <CharactersWithSpaces>9107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D-04.01.01:04.03.01</dc:title>
  <dc:subject>ost</dc:subject>
  <dc:creator>...</dc:creator>
  <cp:keywords>specyfikacje, drogi, drogownictwo</cp:keywords>
  <dc:description>Dolne warstwy podbudów oraz oczyszczenie_x000d_
i skropienie</dc:description>
  <cp:lastModifiedBy> </cp:lastModifiedBy>
  <cp:revision>7</cp:revision>
  <cp:lastPrinted>2013-01-08T12:31:00Z</cp:lastPrinted>
  <dcterms:created xsi:type="dcterms:W3CDTF">2013-12-22T17:03:00Z</dcterms:created>
  <dcterms:modified xsi:type="dcterms:W3CDTF">2016-07-12T07:31:00Z</dcterms:modified>
</cp:coreProperties>
</file>